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96" w:rsidRDefault="00F84996" w:rsidP="00F84996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996" w:rsidRDefault="00F84996" w:rsidP="00F84996">
      <w:pPr>
        <w:jc w:val="center"/>
      </w:pPr>
    </w:p>
    <w:p w:rsidR="00F84996" w:rsidRDefault="00F84996" w:rsidP="00F849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F84996" w:rsidRDefault="00F84996" w:rsidP="00F849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F84996" w:rsidRDefault="00F84996" w:rsidP="00F849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F84996" w:rsidRDefault="00F84996" w:rsidP="00F84996">
      <w:pPr>
        <w:jc w:val="center"/>
        <w:rPr>
          <w:b/>
          <w:sz w:val="36"/>
          <w:szCs w:val="36"/>
        </w:rPr>
      </w:pPr>
    </w:p>
    <w:p w:rsidR="00F84996" w:rsidRDefault="00F84996" w:rsidP="00F84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84996" w:rsidRDefault="00F84996" w:rsidP="00F84996">
      <w:pPr>
        <w:jc w:val="center"/>
        <w:rPr>
          <w:sz w:val="24"/>
          <w:szCs w:val="24"/>
        </w:rPr>
      </w:pPr>
    </w:p>
    <w:p w:rsidR="00F84996" w:rsidRDefault="00F84996" w:rsidP="00F84996">
      <w:pPr>
        <w:jc w:val="center"/>
        <w:rPr>
          <w:sz w:val="24"/>
          <w:szCs w:val="24"/>
        </w:rPr>
      </w:pPr>
      <w:r>
        <w:rPr>
          <w:sz w:val="24"/>
          <w:szCs w:val="24"/>
        </w:rPr>
        <w:t>от  11  марта  2011  №   14</w:t>
      </w:r>
    </w:p>
    <w:p w:rsidR="00F84996" w:rsidRDefault="00F84996" w:rsidP="00F84996">
      <w:pPr>
        <w:jc w:val="center"/>
        <w:rPr>
          <w:sz w:val="24"/>
          <w:szCs w:val="24"/>
        </w:rPr>
      </w:pPr>
      <w:r>
        <w:rPr>
          <w:sz w:val="24"/>
          <w:szCs w:val="24"/>
        </w:rPr>
        <w:t>с. Большие Хутора</w:t>
      </w:r>
    </w:p>
    <w:p w:rsidR="00F84996" w:rsidRDefault="00F84996" w:rsidP="00F84996">
      <w:pPr>
        <w:pStyle w:val="ConsPlusTitle"/>
        <w:widowControl/>
        <w:outlineLvl w:val="0"/>
      </w:pPr>
    </w:p>
    <w:p w:rsidR="00F84996" w:rsidRPr="00737F45" w:rsidRDefault="00F84996" w:rsidP="00F84996">
      <w:pPr>
        <w:pStyle w:val="ConsPlusTitle"/>
        <w:widowControl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 xml:space="preserve">О порядке формирования муниципального задания в отношении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737F45">
        <w:rPr>
          <w:rFonts w:ascii="Times New Roman" w:hAnsi="Times New Roman" w:cs="Times New Roman"/>
          <w:sz w:val="24"/>
          <w:szCs w:val="24"/>
        </w:rPr>
        <w:t>сельсовета Нижнеломовского района Пензенской области</w:t>
      </w:r>
      <w:r w:rsidRPr="00737F4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37F45">
        <w:rPr>
          <w:rFonts w:ascii="Times New Roman" w:hAnsi="Times New Roman" w:cs="Times New Roman"/>
          <w:sz w:val="24"/>
          <w:szCs w:val="24"/>
        </w:rPr>
        <w:t>и финансового обеспечения выполнения муниципального задания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</w:p>
    <w:p w:rsidR="00F84996" w:rsidRDefault="00F84996" w:rsidP="00F84996">
      <w:pPr>
        <w:tabs>
          <w:tab w:val="decimal" w:pos="180"/>
        </w:tabs>
        <w:ind w:left="180"/>
        <w:jc w:val="both"/>
        <w:rPr>
          <w:sz w:val="24"/>
          <w:szCs w:val="24"/>
        </w:rPr>
      </w:pPr>
      <w:r w:rsidRPr="00737F45">
        <w:rPr>
          <w:sz w:val="24"/>
          <w:szCs w:val="24"/>
        </w:rPr>
        <w:t xml:space="preserve">В соответствии с пунктами 3 и 4 статьи 69.2 Бюджетного кодекса Российской Федерации, подпунктом 1 пункта 7 статьи 9.2 Федерального закона от 12.01.1996 № 7-ФЗ «О некоммерческих организациях» (с последующими изменениями) и частью 5 статьи 4 Федерального закона от 18.10.2006 №174-ФЗ «Об автономных учреждениях» (с последующими изменениями), на основании статьи 21, 28 Устава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>
        <w:rPr>
          <w:sz w:val="24"/>
          <w:szCs w:val="24"/>
        </w:rPr>
        <w:t>,-</w:t>
      </w:r>
    </w:p>
    <w:p w:rsidR="00F84996" w:rsidRDefault="00F84996" w:rsidP="00F84996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</w:p>
    <w:p w:rsidR="00F84996" w:rsidRDefault="00F84996" w:rsidP="00F84996">
      <w:pPr>
        <w:jc w:val="center"/>
        <w:rPr>
          <w:b/>
          <w:sz w:val="24"/>
          <w:szCs w:val="24"/>
          <w:lang w:eastAsia="ar-SA"/>
        </w:rPr>
      </w:pPr>
      <w:r w:rsidRPr="00737F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eastAsia="ar-SA"/>
        </w:rPr>
        <w:t>администрация Большехуторского   сельсовета постановляет:</w:t>
      </w:r>
    </w:p>
    <w:p w:rsidR="00F84996" w:rsidRDefault="00F84996" w:rsidP="00F84996">
      <w:pPr>
        <w:tabs>
          <w:tab w:val="decimal" w:pos="180"/>
        </w:tabs>
        <w:ind w:left="180"/>
        <w:jc w:val="both"/>
        <w:rPr>
          <w:sz w:val="24"/>
          <w:szCs w:val="24"/>
        </w:rPr>
      </w:pPr>
    </w:p>
    <w:p w:rsidR="00F84996" w:rsidRPr="00737F45" w:rsidRDefault="00F84996" w:rsidP="00F84996">
      <w:pPr>
        <w:autoSpaceDE w:val="0"/>
        <w:autoSpaceDN w:val="0"/>
        <w:adjustRightInd w:val="0"/>
        <w:ind w:firstLine="36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1. Утвердить прилагаемые:</w:t>
      </w:r>
    </w:p>
    <w:p w:rsidR="00F84996" w:rsidRPr="00737F45" w:rsidRDefault="00F84996" w:rsidP="00F84996">
      <w:pPr>
        <w:autoSpaceDE w:val="0"/>
        <w:autoSpaceDN w:val="0"/>
        <w:adjustRightInd w:val="0"/>
        <w:ind w:firstLine="36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Положение о формировании муниципального задания в отношении муниципальных бюджетных и казенных учреждений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737F45">
        <w:rPr>
          <w:i/>
          <w:sz w:val="24"/>
          <w:szCs w:val="24"/>
        </w:rPr>
        <w:t xml:space="preserve"> </w:t>
      </w:r>
      <w:r w:rsidRPr="00737F45">
        <w:rPr>
          <w:sz w:val="24"/>
          <w:szCs w:val="24"/>
        </w:rPr>
        <w:t>и финансовом обеспечении выполнения муниципального задания (приложение № 1);</w:t>
      </w:r>
    </w:p>
    <w:p w:rsidR="00F84996" w:rsidRPr="00737F45" w:rsidRDefault="00F84996" w:rsidP="00F84996">
      <w:pPr>
        <w:autoSpaceDE w:val="0"/>
        <w:autoSpaceDN w:val="0"/>
        <w:adjustRightInd w:val="0"/>
        <w:ind w:firstLine="36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форму ведомственного перечня муниципальных услуг (работ), оказываемых (выполняемых) находящимися в ведении органов местного самоуправления муниципальными учреждениями в качестве основных видов деятельности (приложение № 2);</w:t>
      </w:r>
    </w:p>
    <w:p w:rsidR="00F84996" w:rsidRPr="00737F45" w:rsidRDefault="00F84996" w:rsidP="00F84996">
      <w:pPr>
        <w:autoSpaceDE w:val="0"/>
        <w:autoSpaceDN w:val="0"/>
        <w:adjustRightInd w:val="0"/>
        <w:ind w:firstLine="36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форму базового (отраслевого) перечня муниципальных услуг (работ), оказываемых (выполняемых) муниципальными учреждениями в установленной сфере деятельности (приложение № 3).</w:t>
      </w:r>
    </w:p>
    <w:p w:rsidR="00F84996" w:rsidRPr="00737F45" w:rsidRDefault="00F84996" w:rsidP="00F84996">
      <w:pPr>
        <w:autoSpaceDE w:val="0"/>
        <w:autoSpaceDN w:val="0"/>
        <w:adjustRightInd w:val="0"/>
        <w:ind w:firstLine="36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</w:t>
      </w:r>
      <w:r w:rsidRPr="00737F45">
        <w:rPr>
          <w:sz w:val="24"/>
          <w:szCs w:val="24"/>
        </w:rPr>
        <w:t xml:space="preserve">. Настоящее постановление вступает в силу с даты опубликования и распространяется на правоотношения, возникшие с 1 января 2011 года. </w:t>
      </w:r>
    </w:p>
    <w:p w:rsidR="00F84996" w:rsidRPr="00737F45" w:rsidRDefault="00F84996" w:rsidP="00F84996">
      <w:pPr>
        <w:shd w:val="clear" w:color="auto" w:fill="FFFFFF"/>
        <w:tabs>
          <w:tab w:val="left" w:pos="709"/>
        </w:tabs>
        <w:spacing w:line="322" w:lineRule="exact"/>
        <w:ind w:firstLine="360"/>
        <w:jc w:val="both"/>
        <w:rPr>
          <w:iCs/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3</w:t>
      </w:r>
      <w:r w:rsidRPr="00737F4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37F45">
        <w:rPr>
          <w:iCs/>
          <w:color w:val="000000"/>
          <w:spacing w:val="1"/>
          <w:sz w:val="24"/>
          <w:szCs w:val="24"/>
        </w:rPr>
        <w:t xml:space="preserve">Настоящее постановление опубликовать в средстве массовой информации Комитета местного самоуправления </w:t>
      </w:r>
      <w:r>
        <w:rPr>
          <w:iCs/>
          <w:color w:val="000000"/>
          <w:spacing w:val="1"/>
          <w:sz w:val="24"/>
          <w:szCs w:val="24"/>
        </w:rPr>
        <w:t xml:space="preserve">Большехуторского </w:t>
      </w:r>
      <w:r w:rsidRPr="00737F45">
        <w:rPr>
          <w:iCs/>
          <w:color w:val="000000"/>
          <w:spacing w:val="1"/>
          <w:sz w:val="24"/>
          <w:szCs w:val="24"/>
        </w:rPr>
        <w:t>сельсовета «</w:t>
      </w:r>
      <w:r>
        <w:rPr>
          <w:iCs/>
          <w:color w:val="000000"/>
          <w:spacing w:val="1"/>
          <w:sz w:val="24"/>
          <w:szCs w:val="24"/>
        </w:rPr>
        <w:t>Местные ведомости</w:t>
      </w:r>
      <w:r w:rsidRPr="00737F45">
        <w:rPr>
          <w:iCs/>
          <w:color w:val="000000"/>
          <w:spacing w:val="1"/>
          <w:sz w:val="24"/>
          <w:szCs w:val="24"/>
        </w:rPr>
        <w:t>».</w:t>
      </w:r>
    </w:p>
    <w:p w:rsidR="00F84996" w:rsidRDefault="00F84996" w:rsidP="00F84996">
      <w:pPr>
        <w:shd w:val="clear" w:color="auto" w:fill="FFFFFF"/>
        <w:tabs>
          <w:tab w:val="left" w:pos="709"/>
        </w:tabs>
        <w:spacing w:line="322" w:lineRule="exact"/>
        <w:ind w:firstLine="360"/>
        <w:jc w:val="both"/>
        <w:rPr>
          <w:iCs/>
          <w:color w:val="000000"/>
          <w:spacing w:val="1"/>
          <w:sz w:val="24"/>
          <w:szCs w:val="24"/>
        </w:rPr>
      </w:pPr>
    </w:p>
    <w:p w:rsidR="00F84996" w:rsidRDefault="00F84996" w:rsidP="00F84996">
      <w:pPr>
        <w:shd w:val="clear" w:color="auto" w:fill="FFFFFF"/>
        <w:tabs>
          <w:tab w:val="left" w:pos="709"/>
        </w:tabs>
        <w:spacing w:line="322" w:lineRule="exact"/>
        <w:ind w:firstLine="360"/>
        <w:jc w:val="both"/>
        <w:rPr>
          <w:iCs/>
          <w:color w:val="000000"/>
          <w:spacing w:val="1"/>
          <w:sz w:val="24"/>
          <w:szCs w:val="24"/>
        </w:rPr>
      </w:pPr>
    </w:p>
    <w:p w:rsidR="00F84996" w:rsidRPr="00510E06" w:rsidRDefault="00F84996" w:rsidP="00F84996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  <w:r w:rsidRPr="00510E06">
        <w:rPr>
          <w:b/>
          <w:sz w:val="24"/>
          <w:szCs w:val="24"/>
        </w:rPr>
        <w:t>Глава администрации</w:t>
      </w:r>
    </w:p>
    <w:p w:rsidR="00F84996" w:rsidRPr="00510E06" w:rsidRDefault="00F84996" w:rsidP="00F84996">
      <w:pPr>
        <w:ind w:left="180"/>
        <w:jc w:val="both"/>
        <w:rPr>
          <w:b/>
          <w:sz w:val="24"/>
          <w:szCs w:val="24"/>
        </w:rPr>
      </w:pPr>
      <w:r w:rsidRPr="00510E06">
        <w:rPr>
          <w:b/>
          <w:sz w:val="24"/>
          <w:szCs w:val="24"/>
        </w:rPr>
        <w:t xml:space="preserve">Большехуторского сельсовета                                  </w:t>
      </w:r>
      <w:r>
        <w:rPr>
          <w:b/>
          <w:sz w:val="24"/>
          <w:szCs w:val="24"/>
        </w:rPr>
        <w:t xml:space="preserve">     </w:t>
      </w:r>
      <w:r w:rsidRPr="00510E06">
        <w:rPr>
          <w:b/>
          <w:sz w:val="24"/>
          <w:szCs w:val="24"/>
        </w:rPr>
        <w:t xml:space="preserve">                    Л.В. Суслова</w:t>
      </w:r>
    </w:p>
    <w:p w:rsidR="00F84996" w:rsidRPr="00541981" w:rsidRDefault="00F84996" w:rsidP="00F84996">
      <w:pPr>
        <w:rPr>
          <w:sz w:val="24"/>
          <w:szCs w:val="24"/>
        </w:rPr>
      </w:pPr>
    </w:p>
    <w:p w:rsidR="00F84996" w:rsidRPr="00737F45" w:rsidRDefault="00F84996" w:rsidP="00F84996">
      <w:pPr>
        <w:shd w:val="clear" w:color="auto" w:fill="FFFFFF"/>
        <w:tabs>
          <w:tab w:val="left" w:pos="709"/>
        </w:tabs>
        <w:spacing w:line="322" w:lineRule="exact"/>
        <w:ind w:firstLine="360"/>
        <w:jc w:val="both"/>
        <w:rPr>
          <w:iCs/>
          <w:color w:val="000000"/>
          <w:spacing w:val="1"/>
          <w:sz w:val="24"/>
          <w:szCs w:val="24"/>
        </w:rPr>
      </w:pPr>
    </w:p>
    <w:p w:rsidR="00F84996" w:rsidRDefault="00F84996" w:rsidP="00F84996">
      <w:pPr>
        <w:shd w:val="clear" w:color="auto" w:fill="FFFFFF"/>
        <w:tabs>
          <w:tab w:val="left" w:pos="709"/>
        </w:tabs>
        <w:spacing w:line="322" w:lineRule="exact"/>
        <w:ind w:firstLine="360"/>
        <w:jc w:val="both"/>
        <w:rPr>
          <w:iCs/>
          <w:color w:val="000000"/>
          <w:spacing w:val="1"/>
          <w:sz w:val="24"/>
          <w:szCs w:val="24"/>
        </w:rPr>
      </w:pPr>
    </w:p>
    <w:p w:rsidR="00F84996" w:rsidRDefault="00F84996" w:rsidP="00F84996">
      <w:pPr>
        <w:shd w:val="clear" w:color="auto" w:fill="FFFFFF"/>
        <w:tabs>
          <w:tab w:val="left" w:pos="709"/>
        </w:tabs>
        <w:spacing w:line="322" w:lineRule="exact"/>
        <w:jc w:val="both"/>
        <w:rPr>
          <w:iCs/>
          <w:color w:val="000000"/>
          <w:spacing w:val="1"/>
          <w:sz w:val="24"/>
          <w:szCs w:val="24"/>
        </w:rPr>
      </w:pPr>
    </w:p>
    <w:p w:rsidR="00F84996" w:rsidRDefault="00F84996" w:rsidP="00F84996">
      <w:pPr>
        <w:shd w:val="clear" w:color="auto" w:fill="FFFFFF"/>
        <w:tabs>
          <w:tab w:val="left" w:pos="709"/>
        </w:tabs>
        <w:spacing w:line="322" w:lineRule="exact"/>
        <w:jc w:val="both"/>
        <w:rPr>
          <w:iCs/>
          <w:color w:val="000000"/>
          <w:spacing w:val="1"/>
          <w:sz w:val="24"/>
          <w:szCs w:val="24"/>
        </w:rPr>
      </w:pPr>
    </w:p>
    <w:p w:rsidR="00F84996" w:rsidRPr="00737F45" w:rsidRDefault="00F84996" w:rsidP="00F84996">
      <w:pPr>
        <w:shd w:val="clear" w:color="auto" w:fill="FFFFFF"/>
        <w:tabs>
          <w:tab w:val="left" w:pos="709"/>
        </w:tabs>
        <w:spacing w:line="322" w:lineRule="exact"/>
        <w:jc w:val="both"/>
        <w:rPr>
          <w:iCs/>
          <w:color w:val="000000"/>
          <w:spacing w:val="1"/>
          <w:sz w:val="24"/>
          <w:szCs w:val="24"/>
        </w:rPr>
      </w:pPr>
    </w:p>
    <w:p w:rsidR="00F84996" w:rsidRPr="00737F45" w:rsidRDefault="00F84996" w:rsidP="00F8499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lastRenderedPageBreak/>
        <w:t>Приложение №1</w:t>
      </w:r>
    </w:p>
    <w:p w:rsidR="00F84996" w:rsidRPr="00737F45" w:rsidRDefault="00F84996" w:rsidP="00F8499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37F45">
        <w:rPr>
          <w:sz w:val="24"/>
          <w:szCs w:val="24"/>
        </w:rPr>
        <w:t xml:space="preserve">Утверждено постановлением администрации </w:t>
      </w:r>
    </w:p>
    <w:p w:rsidR="00F84996" w:rsidRPr="00737F45" w:rsidRDefault="00F84996" w:rsidP="00F84996">
      <w:pPr>
        <w:autoSpaceDE w:val="0"/>
        <w:autoSpaceDN w:val="0"/>
        <w:adjustRightInd w:val="0"/>
        <w:ind w:left="4248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Большехуторского сельсовета </w:t>
      </w:r>
      <w:r w:rsidRPr="00737F45">
        <w:rPr>
          <w:sz w:val="24"/>
          <w:szCs w:val="24"/>
        </w:rPr>
        <w:t>Нижнеломовского района</w:t>
      </w:r>
      <w:r>
        <w:rPr>
          <w:sz w:val="24"/>
          <w:szCs w:val="24"/>
        </w:rPr>
        <w:t xml:space="preserve"> </w:t>
      </w:r>
      <w:r w:rsidRPr="00737F45">
        <w:rPr>
          <w:sz w:val="24"/>
          <w:szCs w:val="24"/>
        </w:rPr>
        <w:t>Пензенской области</w:t>
      </w:r>
      <w:r>
        <w:rPr>
          <w:sz w:val="24"/>
          <w:szCs w:val="24"/>
        </w:rPr>
        <w:t xml:space="preserve"> </w:t>
      </w:r>
      <w:r w:rsidRPr="00737F45">
        <w:rPr>
          <w:sz w:val="24"/>
          <w:szCs w:val="24"/>
        </w:rPr>
        <w:t>от</w:t>
      </w:r>
      <w:r>
        <w:rPr>
          <w:sz w:val="24"/>
          <w:szCs w:val="24"/>
        </w:rPr>
        <w:t xml:space="preserve"> 11.03.2011</w:t>
      </w:r>
      <w:r w:rsidRPr="00737F45">
        <w:rPr>
          <w:sz w:val="24"/>
          <w:szCs w:val="24"/>
        </w:rPr>
        <w:t xml:space="preserve">   №</w:t>
      </w:r>
      <w:r>
        <w:rPr>
          <w:sz w:val="24"/>
          <w:szCs w:val="24"/>
        </w:rPr>
        <w:t xml:space="preserve"> 14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right"/>
        <w:outlineLvl w:val="0"/>
        <w:rPr>
          <w:sz w:val="24"/>
          <w:szCs w:val="24"/>
        </w:rPr>
      </w:pPr>
    </w:p>
    <w:p w:rsidR="00F84996" w:rsidRPr="00737F45" w:rsidRDefault="00F84996" w:rsidP="00F84996">
      <w:pPr>
        <w:pStyle w:val="ConsPlusTitle"/>
        <w:widowControl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 xml:space="preserve">Положение о формировании муниципального задания в отношении муниципальных бюджетных и казенных учреждений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737F45">
        <w:rPr>
          <w:rFonts w:ascii="Times New Roman" w:hAnsi="Times New Roman" w:cs="Times New Roman"/>
          <w:sz w:val="24"/>
          <w:szCs w:val="24"/>
        </w:rPr>
        <w:t>сельсовета Нижнеломовского района Пензенской области и финансовом обеспечении выполнения муниципального задания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1.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(выполнение работ) (далее – муниципальное задание) муниципальными бюджетными учреждениями, а также муниципальными казенными учреждениями, определенными правовыми актами главных распорядителей средств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 xml:space="preserve">сельсовета Нижнеломовского района Пензенской области, в ведении которых находятся муниципальные казенные учреждения. 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Указанное положение не распространяется на органы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737F45">
        <w:rPr>
          <w:i/>
          <w:sz w:val="24"/>
          <w:szCs w:val="24"/>
        </w:rPr>
        <w:t>,</w:t>
      </w:r>
      <w:r w:rsidRPr="00737F45">
        <w:rPr>
          <w:sz w:val="24"/>
          <w:szCs w:val="24"/>
        </w:rPr>
        <w:t xml:space="preserve"> являющиеся муниципальными казенными учреждениями.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Муниципальное задание формируется в соответствии с основными видами деятельности, предусмотренными учредительными документами муниципального бюджетного или муниципального казенного учреждения.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2. Муниципальное задание устанавливает показатели, характеризующие качество и (или) объем (содержание) муниципальной услуги (работы), а также порядок ее оказания (выполнения).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Муниципальное задание формируется по форме согласно приложению.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При установлении муниципальному бюджетному или муниципальному казенному учреждению муниципального задания на оказание нескольких муниципальных услуг (выполнение нескольких работ), муниципальное задание формируется из нескольких разделов, каждый из которых должен содержать требования к оказанию одной муниципальной услуги (выполнению одной работы).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При установлении муниципальному бюджетному или муниципальному казенному учреждению муниципального задания одновременно на оказание муниципальной услуги (услуг) и выполнение работы (работ), муниципальное задание формируется из 2 частей, каждая из которых должна содержать отдельно требования к оказанию муниципальной услуги (услуг) и выполнению работы (работ).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3. Муниципальное задание формируется при формировании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737F45">
        <w:rPr>
          <w:i/>
          <w:sz w:val="24"/>
          <w:szCs w:val="24"/>
        </w:rPr>
        <w:t xml:space="preserve"> </w:t>
      </w:r>
      <w:r w:rsidRPr="00737F45">
        <w:rPr>
          <w:sz w:val="24"/>
          <w:szCs w:val="24"/>
        </w:rPr>
        <w:t xml:space="preserve"> на очередной финансовый год и плановый период и утверждается не позднее одного месяца со дня официального опубликования решения о бюджете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737F45">
        <w:rPr>
          <w:i/>
          <w:sz w:val="24"/>
          <w:szCs w:val="24"/>
        </w:rPr>
        <w:t xml:space="preserve"> </w:t>
      </w:r>
      <w:r w:rsidRPr="00737F45">
        <w:rPr>
          <w:sz w:val="24"/>
          <w:szCs w:val="24"/>
        </w:rPr>
        <w:t>на очередной финансовый год и плановый период в отношении: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а) муниципальных казенных учреждений - главными распорядителями средств бюджета</w:t>
      </w:r>
      <w:r w:rsidRPr="00737F45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области, в ведении которых находятся муниципальные казенные учреждения;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б) муниципальных бюджетных учреждений –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 xml:space="preserve">сельсовета Нижнеломовского района Пензенской области, осуществляющими функции и полномочия учредителя в отношении муниципальных бюджетных учреждений, если иное не установлено федеральными законами, нормативными правовыми актами, муниципальными правовыми актами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 xml:space="preserve">сельсовета Нижнеломовского района Пензенской области, правовыми актами органа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области, осуществляющего функции и полномочия учредителя муниципальных бюджетных учреждений.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4. Муниципальное задание формируется на основе утвержденного главным распорядителем средств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 xml:space="preserve">сельсовета Нижнеломовского района </w:t>
      </w:r>
      <w:r w:rsidRPr="00737F45">
        <w:rPr>
          <w:sz w:val="24"/>
          <w:szCs w:val="24"/>
        </w:rPr>
        <w:lastRenderedPageBreak/>
        <w:t xml:space="preserve">Пензенской области, в ведении которого находятся муниципальные казенные учреждения, либо органом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области, осуществляющим функции и полномочия учредителя муниципальных бюджетных учреждений, ведомственного перечня муниципальных услуг (работ), оказываемых (выполняемых) находящимися в их ведении муниципальными учреждениями в качестве основных видов деятельности, и показателей качества муниципальных услуг (при их установлении).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5. В случае внесения изменений в нормативные правовые акты, на основании которых было сформировано муниципальное задание, а также изменения размера бюджетных ассигнований, предусмотренных в бюджете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737F45">
        <w:rPr>
          <w:i/>
          <w:sz w:val="24"/>
          <w:szCs w:val="24"/>
        </w:rPr>
        <w:t xml:space="preserve"> </w:t>
      </w:r>
      <w:r w:rsidRPr="00737F45">
        <w:rPr>
          <w:sz w:val="24"/>
          <w:szCs w:val="24"/>
        </w:rPr>
        <w:t xml:space="preserve">для финансового обеспечения выполнения муниципального задания, в муниципальное задание могут быть внесены изменения, которые утверждаются главными распорядителями средств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 xml:space="preserve">сельсовета Нижнеломовского района Пензенской области, в ведении которых находятся муниципальные казенные учреждения, либо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области, осуществляющими функции и полномочия учредителя муниципальных бюджетных учреждений.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Изменение объема субсидии, предоставленной из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</w:t>
      </w:r>
      <w:r w:rsidRPr="00737F45">
        <w:rPr>
          <w:i/>
          <w:sz w:val="24"/>
          <w:szCs w:val="24"/>
        </w:rPr>
        <w:t xml:space="preserve"> </w:t>
      </w:r>
      <w:r w:rsidRPr="00737F45">
        <w:rPr>
          <w:sz w:val="24"/>
          <w:szCs w:val="24"/>
        </w:rPr>
        <w:t>муниципальному бюджетному учреждению на финансовое обеспечение выполнения муниципального задания (далее - субсидия), в течение срока его выполнения осуществляется только при соответствующем изменении муниципального задания.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6. Финансовое обеспечение выполнения муниципального задания осуществляется в пределах бюджетных ассигнований, предусмотренных в бюджете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 xml:space="preserve">сельсовета Нижнеломовского района Пензенской области </w:t>
      </w:r>
      <w:r w:rsidRPr="00737F45">
        <w:rPr>
          <w:i/>
          <w:sz w:val="24"/>
          <w:szCs w:val="24"/>
        </w:rPr>
        <w:t xml:space="preserve"> </w:t>
      </w:r>
      <w:r w:rsidRPr="00737F45">
        <w:rPr>
          <w:sz w:val="24"/>
          <w:szCs w:val="24"/>
        </w:rPr>
        <w:t>на соответствующие цели.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7. 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8. Главные распорядители средств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 в ведении которых находятся муниципальные казенные учреждения, при определении показателей бюджетной сметы вправе использовать нормативные затраты на оказание соответствующих муниципальных услуг и нормативные затраты на содержание имущества, переданного на праве оперативного управления муниципальному казенному учреждению.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737F45">
        <w:rPr>
          <w:sz w:val="24"/>
          <w:szCs w:val="24"/>
        </w:rPr>
        <w:t xml:space="preserve">Порядок определения указанных затрат устанавливается главными распорядителями средств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области, в ведении которых находятся муниципальные казенные учреждения.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9. Финансовое обеспечение выполнения муниципального задания муниципальным бюджетным учреждением осуществляется в виде субсидии.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10. Размер субсидии рассчитывается на основании нормативных затрат на оказание муниципальных услуг в рамках муниципального задания и нормативных затрат на содержание недвижимого имущества и особо ценного движимого имущества, закрепленного за муниципальным бюджетным учреждением или приобретенного им за счет средств, выделенных муниципальному бюджетному учреждению учредителем на приобретение такого имущества (за исключением имущества, сданного в аренду), а также на уплату налогов, в качестве объекта налогообложения по которым признается указанное имущество, в том числе земельные участки.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737F45">
        <w:rPr>
          <w:sz w:val="24"/>
          <w:szCs w:val="24"/>
        </w:rPr>
        <w:t xml:space="preserve">Порядок определения указанных затрат и распределения их по отдельным муниципальным услугам устанавливается в соответствии с настоящим Положением органами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области, осуществляющими функции и полномочия учредителя муниципальных бюджетных учреждений.</w:t>
      </w:r>
    </w:p>
    <w:p w:rsidR="00F84996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  <w:sectPr w:rsidR="00F84996" w:rsidSect="009C6A73">
          <w:footerReference w:type="even" r:id="rId5"/>
          <w:footerReference w:type="default" r:id="rId6"/>
          <w:pgSz w:w="11907" w:h="16840" w:code="9"/>
          <w:pgMar w:top="624" w:right="851" w:bottom="624" w:left="1134" w:header="709" w:footer="709" w:gutter="0"/>
          <w:cols w:space="708"/>
          <w:titlePg/>
          <w:docGrid w:linePitch="360"/>
        </w:sectPr>
      </w:pP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lastRenderedPageBreak/>
        <w:t>11. При оказании в случаях, установленных федеральным законом, муниципальными бюджетными учреждениями муниципальных услуг (выполнении работ) гражданам и юридическим лицам за плату в пределах установленного муниципального задания размер субсидии рассчитывается с учетом средств, планируемых к поступлению от потребителей указанных услуг (работ).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12. При определении нормативных затрат на оказание муниципальным бюджетным учреждением муниципальной услуги учитываются: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а) нормативные затраты, непосредственно связанные с оказанием муниципальной услуги;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б) нормативные затраты на общехозяйственные нужды (за исключением затрат, которые учитываются в составе нормативных затрат на содержание имущества муниципального бюджетного учреждения в соответствии с пунктом 13 настоящего Положения).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13. Нормативные затраты на содержание имущества муниципального бюджетного учреждения рассчитываются с учетом затрат: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а) на потребление электрической энергии в размере 10 процентов общего объема затрат муниципального бюджетного учреждения на оплату указанного вида коммунальных платежей;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б) на потребление тепловой энергии в размере 50 процентов общего объема затрат муниципального бюджетного учреждения на оплату указанного вида коммунальных платежей;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в) на уплату налогов, в качестве объекта налогообложения по которым признается недвижимое и особо ценное движимое имущество, закрепленное за муниципальным бюджетным учреждением или приобретенное им за счет средств, выделенных муниципальному бюджетному учреждению учредителем на приобретение такого имущества, в том числе земельные участки.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14. Субсидия перечисляется в установленном порядке на счет территориального органа Федерального казначейства по месту открытия лицевого счета муниципальному бюджетному учреждению.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15. Предоставление муниципальному бюджетному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и органом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 xml:space="preserve">сельсовета Нижнеломовского района Пензенской области, осуществляющим функции и полномочия учредителя муниципальных бюджетных учреждений, в соответствии с примерной формой, утверждаемой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Указанное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16. Контроль за выполнением муниципальными казенными учреждениями муниципальных заданий осуществляют главные распорядители средств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области, в ведении которых находятся муниципальные казенные учреждения.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17. Контроль за выполнением муниципальными бюджетными учреждениями муниципальных заданий осуществляют органы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области, осуществляющие функции и полномочия учредителя муниципальных бюджетных учреждений.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>18. Муниципальные задания, за исключением содержащихся в них сведений, отнесенных к государственной тайне, размещаются на официальном сайте Нижнеломовского района Пензенской области</w:t>
      </w:r>
      <w:r w:rsidRPr="00737F45">
        <w:rPr>
          <w:i/>
          <w:sz w:val="24"/>
          <w:szCs w:val="24"/>
        </w:rPr>
        <w:t xml:space="preserve"> </w:t>
      </w:r>
      <w:r w:rsidRPr="00737F45">
        <w:rPr>
          <w:sz w:val="24"/>
          <w:szCs w:val="24"/>
        </w:rPr>
        <w:t xml:space="preserve">в сети Интернет на основании информации, предоставляемой муниципальными бюджетными и муниципальными казенными учреждениями, в порядке, установленном администрацией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737F45">
        <w:rPr>
          <w:sz w:val="24"/>
          <w:szCs w:val="24"/>
        </w:rPr>
        <w:t xml:space="preserve">Муниципальные задания и отчеты об их исполнении, за исключением содержащихся в них сведений, отнесенных к государственной тайне, могут быть размещены на официальных сайтах в сети Интернет главных распорядителей средств бюджета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 xml:space="preserve">сельсовета Нижнеломовского района Пензенской области, в ведении которых находятся муниципальные казенные учреждения, и органов местного самоуправления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>сельсовета Нижнеломовского района Пензенской области, осуществляющих функции и полномочия учредителя муниципальных бюджетных учреждений.</w:t>
      </w:r>
    </w:p>
    <w:p w:rsidR="00F84996" w:rsidRPr="00737F45" w:rsidRDefault="00F84996" w:rsidP="00F8499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  <w:sectPr w:rsidR="00F84996" w:rsidRPr="00737F45" w:rsidSect="009C6A73">
          <w:pgSz w:w="11907" w:h="16840" w:code="9"/>
          <w:pgMar w:top="624" w:right="851" w:bottom="624" w:left="1134" w:header="709" w:footer="709" w:gutter="0"/>
          <w:cols w:space="708"/>
          <w:docGrid w:linePitch="360"/>
        </w:sectPr>
      </w:pPr>
    </w:p>
    <w:p w:rsidR="00F84996" w:rsidRPr="00737F45" w:rsidRDefault="00F84996" w:rsidP="00F84996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737F45">
        <w:rPr>
          <w:sz w:val="24"/>
          <w:szCs w:val="24"/>
        </w:rPr>
        <w:lastRenderedPageBreak/>
        <w:t>Приложение</w:t>
      </w:r>
    </w:p>
    <w:p w:rsidR="00F84996" w:rsidRPr="00737F45" w:rsidRDefault="00F84996" w:rsidP="00F84996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737F45">
        <w:rPr>
          <w:sz w:val="24"/>
          <w:szCs w:val="24"/>
        </w:rPr>
        <w:t>к Положению о формировании</w:t>
      </w:r>
    </w:p>
    <w:p w:rsidR="00F84996" w:rsidRPr="00737F45" w:rsidRDefault="00F84996" w:rsidP="00F84996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737F45">
        <w:rPr>
          <w:sz w:val="24"/>
          <w:szCs w:val="24"/>
        </w:rPr>
        <w:t>муниципального задания</w:t>
      </w:r>
      <w:r>
        <w:rPr>
          <w:sz w:val="24"/>
          <w:szCs w:val="24"/>
        </w:rPr>
        <w:t xml:space="preserve">, </w:t>
      </w:r>
      <w:r w:rsidRPr="00737F45">
        <w:rPr>
          <w:sz w:val="24"/>
          <w:szCs w:val="24"/>
        </w:rPr>
        <w:t xml:space="preserve">в отношении муниципальных </w:t>
      </w:r>
    </w:p>
    <w:p w:rsidR="00F84996" w:rsidRDefault="00F84996" w:rsidP="00F84996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737F45">
        <w:rPr>
          <w:sz w:val="24"/>
          <w:szCs w:val="24"/>
        </w:rPr>
        <w:t>бюджетных и казенных</w:t>
      </w:r>
      <w:r>
        <w:rPr>
          <w:sz w:val="24"/>
          <w:szCs w:val="24"/>
        </w:rPr>
        <w:t xml:space="preserve"> </w:t>
      </w:r>
      <w:r w:rsidRPr="00737F45">
        <w:rPr>
          <w:sz w:val="24"/>
          <w:szCs w:val="24"/>
        </w:rPr>
        <w:t xml:space="preserve">учреждений </w:t>
      </w:r>
      <w:r>
        <w:rPr>
          <w:sz w:val="24"/>
          <w:szCs w:val="24"/>
        </w:rPr>
        <w:t xml:space="preserve">Большехуторского </w:t>
      </w:r>
      <w:r w:rsidRPr="00737F45">
        <w:rPr>
          <w:sz w:val="24"/>
          <w:szCs w:val="24"/>
        </w:rPr>
        <w:t xml:space="preserve">сельсовета </w:t>
      </w:r>
    </w:p>
    <w:p w:rsidR="00F84996" w:rsidRPr="00737F45" w:rsidRDefault="00F84996" w:rsidP="00F84996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737F45">
        <w:rPr>
          <w:sz w:val="24"/>
          <w:szCs w:val="24"/>
        </w:rPr>
        <w:t>Нижнеломовского района Пензенской области и финансовом</w:t>
      </w:r>
    </w:p>
    <w:p w:rsidR="00F84996" w:rsidRPr="00737F45" w:rsidRDefault="00F84996" w:rsidP="00F84996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737F45">
        <w:rPr>
          <w:sz w:val="24"/>
          <w:szCs w:val="24"/>
        </w:rPr>
        <w:t>обеспечении выполнения</w:t>
      </w:r>
      <w:r>
        <w:rPr>
          <w:sz w:val="24"/>
          <w:szCs w:val="24"/>
        </w:rPr>
        <w:t xml:space="preserve"> </w:t>
      </w:r>
      <w:r w:rsidRPr="00737F45">
        <w:rPr>
          <w:sz w:val="24"/>
          <w:szCs w:val="24"/>
        </w:rPr>
        <w:t>муниципального задания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right"/>
        <w:outlineLvl w:val="1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outlineLvl w:val="1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УТВЕРЖДАЮ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F84996" w:rsidRPr="00737F45" w:rsidRDefault="00F84996" w:rsidP="00F8499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(подпись, Ф.И.О. руководителя главного распорядителя</w:t>
      </w:r>
    </w:p>
    <w:p w:rsidR="00F84996" w:rsidRPr="00737F45" w:rsidRDefault="00F84996" w:rsidP="00F84996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средств бюджета</w:t>
      </w:r>
      <w:r w:rsidRPr="00165820">
        <w:rPr>
          <w:sz w:val="24"/>
          <w:szCs w:val="24"/>
        </w:rPr>
        <w:t xml:space="preserve"> </w:t>
      </w:r>
      <w:r w:rsidRPr="00165820">
        <w:rPr>
          <w:rFonts w:ascii="Times New Roman" w:hAnsi="Times New Roman" w:cs="Times New Roman"/>
          <w:sz w:val="24"/>
          <w:szCs w:val="24"/>
        </w:rPr>
        <w:t>Большехуторского сельсовета</w:t>
      </w:r>
      <w:r w:rsidRPr="00737F45">
        <w:rPr>
          <w:rFonts w:ascii="Times New Roman" w:hAnsi="Times New Roman" w:cs="Times New Roman"/>
          <w:sz w:val="24"/>
          <w:szCs w:val="24"/>
        </w:rPr>
        <w:t xml:space="preserve"> Нижнеломовского района Пензенской области</w:t>
      </w:r>
      <w:r w:rsidRPr="00737F45">
        <w:rPr>
          <w:rFonts w:ascii="Times New Roman" w:hAnsi="Times New Roman" w:cs="Times New Roman"/>
          <w:i/>
          <w:sz w:val="24"/>
          <w:szCs w:val="24"/>
        </w:rPr>
        <w:t>,</w:t>
      </w:r>
    </w:p>
    <w:p w:rsidR="00F84996" w:rsidRPr="00737F45" w:rsidRDefault="00F84996" w:rsidP="00F8499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в ведении которого находятся муниципальные казенные учреждения,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F45">
        <w:rPr>
          <w:rFonts w:ascii="Times New Roman" w:hAnsi="Times New Roman" w:cs="Times New Roman"/>
          <w:sz w:val="24"/>
          <w:szCs w:val="24"/>
        </w:rPr>
        <w:t xml:space="preserve">органа местного </w:t>
      </w:r>
      <w:r w:rsidRPr="00165820">
        <w:rPr>
          <w:rFonts w:ascii="Times New Roman" w:hAnsi="Times New Roman" w:cs="Times New Roman"/>
          <w:sz w:val="24"/>
          <w:szCs w:val="24"/>
        </w:rPr>
        <w:t xml:space="preserve">самоуправления Большехуторского сельсовета Нижнеломовского района Пензенской области, </w:t>
      </w:r>
      <w:r w:rsidRPr="00737F45">
        <w:rPr>
          <w:rFonts w:ascii="Times New Roman" w:hAnsi="Times New Roman" w:cs="Times New Roman"/>
          <w:sz w:val="24"/>
          <w:szCs w:val="24"/>
        </w:rPr>
        <w:t>осуществляющего функции и полномочия учредителя муниципальных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F45">
        <w:rPr>
          <w:rFonts w:ascii="Times New Roman" w:hAnsi="Times New Roman" w:cs="Times New Roman"/>
          <w:sz w:val="24"/>
          <w:szCs w:val="24"/>
        </w:rPr>
        <w:t>учреждений или автономных учреждений, созданных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F45">
        <w:rPr>
          <w:rFonts w:ascii="Times New Roman" w:hAnsi="Times New Roman" w:cs="Times New Roman"/>
          <w:sz w:val="24"/>
          <w:szCs w:val="24"/>
        </w:rPr>
        <w:t>на базе имущества, находящегося в муниципальной собственности)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"__" ____________________________ г.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МУНИЦИПАЛЬНОЕ ЗАДАНИЕ</w:t>
      </w: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(наименование муниципального учреждения)</w:t>
      </w: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на ____ год и плановый период ____ и ____ годов &lt;*&gt;</w:t>
      </w:r>
    </w:p>
    <w:p w:rsidR="00F84996" w:rsidRPr="00737F45" w:rsidRDefault="00F84996" w:rsidP="00F84996">
      <w:pPr>
        <w:autoSpaceDE w:val="0"/>
        <w:autoSpaceDN w:val="0"/>
        <w:adjustRightInd w:val="0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ЧАСТЬ 1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(формируется при установлении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F45">
        <w:rPr>
          <w:rFonts w:ascii="Times New Roman" w:hAnsi="Times New Roman" w:cs="Times New Roman"/>
          <w:sz w:val="24"/>
          <w:szCs w:val="24"/>
        </w:rPr>
        <w:t>одновременно на выполнение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F45">
        <w:rPr>
          <w:rFonts w:ascii="Times New Roman" w:hAnsi="Times New Roman" w:cs="Times New Roman"/>
          <w:sz w:val="24"/>
          <w:szCs w:val="24"/>
        </w:rPr>
        <w:t>(услуг) и работы (работ) и содержит требования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F45">
        <w:rPr>
          <w:rFonts w:ascii="Times New Roman" w:hAnsi="Times New Roman" w:cs="Times New Roman"/>
          <w:sz w:val="24"/>
          <w:szCs w:val="24"/>
        </w:rPr>
        <w:t>к оказанию муниципальной услуги (услуг))</w:t>
      </w:r>
    </w:p>
    <w:p w:rsidR="00F84996" w:rsidRPr="00737F45" w:rsidRDefault="00F84996" w:rsidP="00F84996">
      <w:pPr>
        <w:autoSpaceDE w:val="0"/>
        <w:autoSpaceDN w:val="0"/>
        <w:adjustRightInd w:val="0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 xml:space="preserve">              РАЗДЕЛ 1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737F45">
        <w:rPr>
          <w:rFonts w:ascii="Times New Roman" w:hAnsi="Times New Roman" w:cs="Times New Roman"/>
          <w:sz w:val="24"/>
          <w:szCs w:val="24"/>
        </w:rPr>
        <w:t>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 xml:space="preserve">                          (при наличии 2 и более разделов)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1. Наименование муниципальной услуги 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37F45">
        <w:rPr>
          <w:rFonts w:ascii="Times New Roman" w:hAnsi="Times New Roman" w:cs="Times New Roman"/>
          <w:sz w:val="24"/>
          <w:szCs w:val="24"/>
        </w:rPr>
        <w:t>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37F45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37F45">
        <w:rPr>
          <w:rFonts w:ascii="Times New Roman" w:hAnsi="Times New Roman" w:cs="Times New Roman"/>
          <w:sz w:val="24"/>
          <w:szCs w:val="24"/>
        </w:rPr>
        <w:t>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2. Потребители муниципальной услуги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3.  Показатели,  характеризующие  объем  и (или)  качество  муниципальной услуги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 &lt;**&gt;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tbl>
      <w:tblPr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1080"/>
        <w:gridCol w:w="970"/>
        <w:gridCol w:w="1260"/>
        <w:gridCol w:w="1260"/>
        <w:gridCol w:w="1260"/>
        <w:gridCol w:w="1080"/>
        <w:gridCol w:w="1080"/>
        <w:gridCol w:w="1260"/>
      </w:tblGrid>
      <w:tr w:rsidR="00F84996" w:rsidRPr="00712802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60" w:type="dxa"/>
            <w:vMerge w:val="restart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>Наименован</w:t>
            </w:r>
            <w:r w:rsidRPr="00712802">
              <w:rPr>
                <w:rFonts w:ascii="Times New Roman" w:hAnsi="Times New Roman" w:cs="Times New Roman"/>
              </w:rPr>
              <w:lastRenderedPageBreak/>
              <w:t xml:space="preserve">ие показателя    </w:t>
            </w:r>
          </w:p>
        </w:tc>
        <w:tc>
          <w:tcPr>
            <w:tcW w:w="1080" w:type="dxa"/>
            <w:vMerge w:val="restart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lastRenderedPageBreak/>
              <w:t>Единица</w:t>
            </w:r>
            <w:r w:rsidRPr="00712802">
              <w:rPr>
                <w:rFonts w:ascii="Times New Roman" w:hAnsi="Times New Roman" w:cs="Times New Roman"/>
              </w:rPr>
              <w:br/>
            </w:r>
            <w:r w:rsidRPr="00712802">
              <w:rPr>
                <w:rFonts w:ascii="Times New Roman" w:hAnsi="Times New Roman" w:cs="Times New Roman"/>
              </w:rPr>
              <w:lastRenderedPageBreak/>
              <w:t xml:space="preserve">измерения    </w:t>
            </w:r>
          </w:p>
        </w:tc>
        <w:tc>
          <w:tcPr>
            <w:tcW w:w="970" w:type="dxa"/>
            <w:vMerge w:val="restart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lastRenderedPageBreak/>
              <w:t>Формула</w:t>
            </w:r>
            <w:r w:rsidRPr="00712802">
              <w:rPr>
                <w:rFonts w:ascii="Times New Roman" w:hAnsi="Times New Roman" w:cs="Times New Roman"/>
              </w:rPr>
              <w:br/>
            </w:r>
            <w:r w:rsidRPr="00712802">
              <w:rPr>
                <w:rFonts w:ascii="Times New Roman" w:hAnsi="Times New Roman" w:cs="Times New Roman"/>
              </w:rPr>
              <w:lastRenderedPageBreak/>
              <w:t>расчета</w:t>
            </w:r>
          </w:p>
        </w:tc>
        <w:tc>
          <w:tcPr>
            <w:tcW w:w="5940" w:type="dxa"/>
            <w:gridSpan w:val="5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lastRenderedPageBreak/>
              <w:t>Значения показателей качества муниципальной услуги</w:t>
            </w:r>
          </w:p>
        </w:tc>
        <w:tc>
          <w:tcPr>
            <w:tcW w:w="1260" w:type="dxa"/>
            <w:vMerge w:val="restart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>Источник</w:t>
            </w:r>
            <w:r w:rsidRPr="00712802">
              <w:rPr>
                <w:rFonts w:ascii="Times New Roman" w:hAnsi="Times New Roman" w:cs="Times New Roman"/>
              </w:rPr>
              <w:br/>
            </w:r>
            <w:r w:rsidRPr="00712802">
              <w:rPr>
                <w:rFonts w:ascii="Times New Roman" w:hAnsi="Times New Roman" w:cs="Times New Roman"/>
              </w:rPr>
              <w:lastRenderedPageBreak/>
              <w:t>информации</w:t>
            </w:r>
            <w:r w:rsidRPr="00712802">
              <w:rPr>
                <w:rFonts w:ascii="Times New Roman" w:hAnsi="Times New Roman" w:cs="Times New Roman"/>
              </w:rPr>
              <w:br/>
              <w:t>о значении</w:t>
            </w:r>
            <w:r w:rsidRPr="00712802">
              <w:rPr>
                <w:rFonts w:ascii="Times New Roman" w:hAnsi="Times New Roman" w:cs="Times New Roman"/>
              </w:rPr>
              <w:br/>
              <w:t>показателя</w:t>
            </w:r>
            <w:r w:rsidRPr="00712802">
              <w:rPr>
                <w:rFonts w:ascii="Times New Roman" w:hAnsi="Times New Roman" w:cs="Times New Roman"/>
              </w:rPr>
              <w:br/>
              <w:t>(исходные</w:t>
            </w:r>
            <w:r w:rsidRPr="00712802">
              <w:rPr>
                <w:rFonts w:ascii="Times New Roman" w:hAnsi="Times New Roman" w:cs="Times New Roman"/>
              </w:rPr>
              <w:br/>
              <w:t>данные для</w:t>
            </w:r>
            <w:r w:rsidRPr="00712802">
              <w:rPr>
                <w:rFonts w:ascii="Times New Roman" w:hAnsi="Times New Roman" w:cs="Times New Roman"/>
              </w:rPr>
              <w:br/>
              <w:t>ее расчета)</w:t>
            </w:r>
          </w:p>
        </w:tc>
      </w:tr>
      <w:tr w:rsidR="00F84996" w:rsidRPr="00712802" w:rsidTr="00EF2F4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260" w:type="dxa"/>
            <w:vMerge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vMerge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отчетный </w:t>
            </w:r>
            <w:r w:rsidRPr="00712802">
              <w:rPr>
                <w:rFonts w:ascii="Times New Roman" w:hAnsi="Times New Roman" w:cs="Times New Roman"/>
              </w:rPr>
              <w:br/>
              <w:t>финансовый</w:t>
            </w:r>
            <w:r w:rsidRPr="00712802">
              <w:rPr>
                <w:rFonts w:ascii="Times New Roman" w:hAnsi="Times New Roman" w:cs="Times New Roman"/>
              </w:rPr>
              <w:br/>
              <w:t xml:space="preserve">год    </w:t>
            </w:r>
          </w:p>
        </w:tc>
        <w:tc>
          <w:tcPr>
            <w:tcW w:w="126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текущий  </w:t>
            </w:r>
            <w:r w:rsidRPr="00712802">
              <w:rPr>
                <w:rFonts w:ascii="Times New Roman" w:hAnsi="Times New Roman" w:cs="Times New Roman"/>
              </w:rPr>
              <w:br/>
              <w:t>финансовый</w:t>
            </w:r>
            <w:r w:rsidRPr="00712802">
              <w:rPr>
                <w:rFonts w:ascii="Times New Roman" w:hAnsi="Times New Roman" w:cs="Times New Roman"/>
              </w:rPr>
              <w:br/>
              <w:t xml:space="preserve">год    </w:t>
            </w:r>
          </w:p>
        </w:tc>
        <w:tc>
          <w:tcPr>
            <w:tcW w:w="126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очередной </w:t>
            </w:r>
            <w:r w:rsidRPr="00712802">
              <w:rPr>
                <w:rFonts w:ascii="Times New Roman" w:hAnsi="Times New Roman" w:cs="Times New Roman"/>
              </w:rPr>
              <w:br/>
              <w:t>финансовый</w:t>
            </w:r>
            <w:r w:rsidRPr="00712802">
              <w:rPr>
                <w:rFonts w:ascii="Times New Roman" w:hAnsi="Times New Roman" w:cs="Times New Roman"/>
              </w:rPr>
              <w:br/>
              <w:t xml:space="preserve">год &lt;***&gt; </w:t>
            </w:r>
          </w:p>
        </w:tc>
        <w:tc>
          <w:tcPr>
            <w:tcW w:w="108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1-й год </w:t>
            </w:r>
            <w:r w:rsidRPr="00712802">
              <w:rPr>
                <w:rFonts w:ascii="Times New Roman" w:hAnsi="Times New Roman" w:cs="Times New Roman"/>
              </w:rPr>
              <w:br/>
              <w:t>планового</w:t>
            </w:r>
            <w:r w:rsidRPr="00712802">
              <w:rPr>
                <w:rFonts w:ascii="Times New Roman" w:hAnsi="Times New Roman" w:cs="Times New Roman"/>
              </w:rPr>
              <w:br/>
              <w:t xml:space="preserve">периода </w:t>
            </w:r>
          </w:p>
        </w:tc>
        <w:tc>
          <w:tcPr>
            <w:tcW w:w="108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2-й год </w:t>
            </w:r>
            <w:r w:rsidRPr="00712802">
              <w:rPr>
                <w:rFonts w:ascii="Times New Roman" w:hAnsi="Times New Roman" w:cs="Times New Roman"/>
              </w:rPr>
              <w:br/>
              <w:t>планового</w:t>
            </w:r>
            <w:r w:rsidRPr="00712802">
              <w:rPr>
                <w:rFonts w:ascii="Times New Roman" w:hAnsi="Times New Roman" w:cs="Times New Roman"/>
              </w:rPr>
              <w:br/>
              <w:t xml:space="preserve">периода </w:t>
            </w:r>
          </w:p>
        </w:tc>
        <w:tc>
          <w:tcPr>
            <w:tcW w:w="1260" w:type="dxa"/>
            <w:vMerge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       </w:t>
            </w: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2.        </w:t>
            </w: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10510" w:type="dxa"/>
            <w:gridSpan w:val="9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3.2. Объем муниципальной услуги (в натуральных показателях)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tbl>
      <w:tblPr>
        <w:tblW w:w="104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20"/>
        <w:gridCol w:w="1080"/>
        <w:gridCol w:w="1260"/>
        <w:gridCol w:w="1260"/>
        <w:gridCol w:w="1260"/>
        <w:gridCol w:w="1080"/>
        <w:gridCol w:w="1080"/>
        <w:gridCol w:w="1800"/>
      </w:tblGrid>
      <w:tr w:rsidR="00F84996" w:rsidRPr="00712802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  <w:vMerge w:val="restart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>Наименование</w:t>
            </w:r>
            <w:r w:rsidRPr="00712802">
              <w:rPr>
                <w:rFonts w:ascii="Times New Roman" w:hAnsi="Times New Roman" w:cs="Times New Roman"/>
              </w:rPr>
              <w:br/>
              <w:t xml:space="preserve">показателя </w:t>
            </w:r>
          </w:p>
        </w:tc>
        <w:tc>
          <w:tcPr>
            <w:tcW w:w="1080" w:type="dxa"/>
            <w:vMerge w:val="restart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Единица </w:t>
            </w:r>
            <w:r w:rsidRPr="0071280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5940" w:type="dxa"/>
            <w:gridSpan w:val="5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Значение показателей объема муниципальной услуги </w:t>
            </w:r>
          </w:p>
        </w:tc>
        <w:tc>
          <w:tcPr>
            <w:tcW w:w="1800" w:type="dxa"/>
            <w:vMerge w:val="restart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>Источник</w:t>
            </w:r>
            <w:r w:rsidRPr="00712802">
              <w:rPr>
                <w:rFonts w:ascii="Times New Roman" w:hAnsi="Times New Roman" w:cs="Times New Roman"/>
              </w:rPr>
              <w:br/>
              <w:t>информации</w:t>
            </w:r>
            <w:r w:rsidRPr="00712802">
              <w:rPr>
                <w:rFonts w:ascii="Times New Roman" w:hAnsi="Times New Roman" w:cs="Times New Roman"/>
              </w:rPr>
              <w:br/>
              <w:t>о значении</w:t>
            </w:r>
            <w:r w:rsidRPr="00712802">
              <w:rPr>
                <w:rFonts w:ascii="Times New Roman" w:hAnsi="Times New Roman" w:cs="Times New Roman"/>
              </w:rPr>
              <w:br/>
              <w:t>показателя</w:t>
            </w:r>
          </w:p>
        </w:tc>
      </w:tr>
      <w:tr w:rsidR="00F84996" w:rsidRPr="00712802" w:rsidTr="00EF2F4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620" w:type="dxa"/>
            <w:vMerge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отчетный </w:t>
            </w:r>
            <w:r w:rsidRPr="00712802">
              <w:rPr>
                <w:rFonts w:ascii="Times New Roman" w:hAnsi="Times New Roman" w:cs="Times New Roman"/>
              </w:rPr>
              <w:br/>
              <w:t>финансовый</w:t>
            </w:r>
            <w:r w:rsidRPr="00712802">
              <w:rPr>
                <w:rFonts w:ascii="Times New Roman" w:hAnsi="Times New Roman" w:cs="Times New Roman"/>
              </w:rPr>
              <w:br/>
              <w:t xml:space="preserve">год    </w:t>
            </w:r>
          </w:p>
        </w:tc>
        <w:tc>
          <w:tcPr>
            <w:tcW w:w="126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текущий </w:t>
            </w:r>
            <w:r w:rsidRPr="00712802">
              <w:rPr>
                <w:rFonts w:ascii="Times New Roman" w:hAnsi="Times New Roman" w:cs="Times New Roman"/>
              </w:rPr>
              <w:br/>
              <w:t>финансовый</w:t>
            </w:r>
            <w:r w:rsidRPr="00712802">
              <w:rPr>
                <w:rFonts w:ascii="Times New Roman" w:hAnsi="Times New Roman" w:cs="Times New Roman"/>
              </w:rPr>
              <w:br/>
              <w:t xml:space="preserve">год   </w:t>
            </w:r>
          </w:p>
        </w:tc>
        <w:tc>
          <w:tcPr>
            <w:tcW w:w="126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очередной </w:t>
            </w:r>
            <w:r w:rsidRPr="00712802">
              <w:rPr>
                <w:rFonts w:ascii="Times New Roman" w:hAnsi="Times New Roman" w:cs="Times New Roman"/>
              </w:rPr>
              <w:br/>
              <w:t>финансовый</w:t>
            </w:r>
            <w:r w:rsidRPr="00712802">
              <w:rPr>
                <w:rFonts w:ascii="Times New Roman" w:hAnsi="Times New Roman" w:cs="Times New Roman"/>
              </w:rPr>
              <w:br/>
              <w:t xml:space="preserve">год &lt;***&gt; </w:t>
            </w:r>
          </w:p>
        </w:tc>
        <w:tc>
          <w:tcPr>
            <w:tcW w:w="108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1-й год </w:t>
            </w:r>
            <w:r w:rsidRPr="00712802">
              <w:rPr>
                <w:rFonts w:ascii="Times New Roman" w:hAnsi="Times New Roman" w:cs="Times New Roman"/>
              </w:rPr>
              <w:br/>
              <w:t>планового</w:t>
            </w:r>
            <w:r w:rsidRPr="00712802">
              <w:rPr>
                <w:rFonts w:ascii="Times New Roman" w:hAnsi="Times New Roman" w:cs="Times New Roman"/>
              </w:rPr>
              <w:br/>
              <w:t xml:space="preserve">периода </w:t>
            </w:r>
          </w:p>
        </w:tc>
        <w:tc>
          <w:tcPr>
            <w:tcW w:w="108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12802">
              <w:rPr>
                <w:rFonts w:ascii="Times New Roman" w:hAnsi="Times New Roman" w:cs="Times New Roman"/>
              </w:rPr>
              <w:t xml:space="preserve">2-й год </w:t>
            </w:r>
            <w:r w:rsidRPr="00712802">
              <w:rPr>
                <w:rFonts w:ascii="Times New Roman" w:hAnsi="Times New Roman" w:cs="Times New Roman"/>
              </w:rPr>
              <w:br/>
              <w:t>планового</w:t>
            </w:r>
            <w:r w:rsidRPr="00712802">
              <w:rPr>
                <w:rFonts w:ascii="Times New Roman" w:hAnsi="Times New Roman" w:cs="Times New Roman"/>
              </w:rPr>
              <w:br/>
              <w:t xml:space="preserve">периода </w:t>
            </w:r>
          </w:p>
        </w:tc>
        <w:tc>
          <w:tcPr>
            <w:tcW w:w="1800" w:type="dxa"/>
            <w:vMerge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1.          </w:t>
            </w: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2.          </w:t>
            </w: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10440" w:type="dxa"/>
            <w:gridSpan w:val="8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4. Порядок оказания муниципальной услуги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4.1.   Нормативные   правовые    акты,    регулирующие   порядок   оказания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4.2.  Порядок  информирования  потенциальных  потребителей  муниципальной услуги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4050"/>
        <w:gridCol w:w="3240"/>
      </w:tblGrid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70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Способ       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информирования   </w:t>
            </w:r>
          </w:p>
        </w:tc>
        <w:tc>
          <w:tcPr>
            <w:tcW w:w="40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4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Частота обновления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70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1.                 </w:t>
            </w:r>
          </w:p>
        </w:tc>
        <w:tc>
          <w:tcPr>
            <w:tcW w:w="40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70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2.                 </w:t>
            </w:r>
          </w:p>
        </w:tc>
        <w:tc>
          <w:tcPr>
            <w:tcW w:w="40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9990" w:type="dxa"/>
            <w:gridSpan w:val="3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5. Основания для досрочного прекращения исполнения муниципального задания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6. Предельные цены (тарифы) на оплату  муниципальной  услуги  в  случаях,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если федеральным законом предусмотрено их оказание на платной основе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6.1.  Нормативный  правовой  акт,   устанавливающий   цены   (тарифы)  либо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lastRenderedPageBreak/>
        <w:t>порядок их установления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6.2. Орган, устанавливающий цены (тарифы) 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6.3. Значения предельных цен (тарифов)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25"/>
        <w:gridCol w:w="5265"/>
      </w:tblGrid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услуги        </w:t>
            </w:r>
          </w:p>
        </w:tc>
        <w:tc>
          <w:tcPr>
            <w:tcW w:w="526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1.                                </w:t>
            </w:r>
          </w:p>
        </w:tc>
        <w:tc>
          <w:tcPr>
            <w:tcW w:w="526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72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2.                                </w:t>
            </w:r>
          </w:p>
        </w:tc>
        <w:tc>
          <w:tcPr>
            <w:tcW w:w="526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9990" w:type="dxa"/>
            <w:gridSpan w:val="2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7. Порядок контроля за исполнением муниципального задания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2160"/>
        <w:gridCol w:w="5670"/>
      </w:tblGrid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1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 </w:t>
            </w:r>
          </w:p>
        </w:tc>
        <w:tc>
          <w:tcPr>
            <w:tcW w:w="21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567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Нижнеломовского района Пензенской области,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осуществляющие контроль за оказанием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услуги</w:t>
            </w: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1.             </w:t>
            </w:r>
          </w:p>
        </w:tc>
        <w:tc>
          <w:tcPr>
            <w:tcW w:w="21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1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2.             </w:t>
            </w:r>
          </w:p>
        </w:tc>
        <w:tc>
          <w:tcPr>
            <w:tcW w:w="21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9990" w:type="dxa"/>
            <w:gridSpan w:val="3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8. Требования к отчетности об исполнении муниципального задания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8.1. Форма отчета об исполнении муниципального задания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tbl>
      <w:tblPr>
        <w:tblW w:w="100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20"/>
        <w:gridCol w:w="1260"/>
        <w:gridCol w:w="1800"/>
        <w:gridCol w:w="1440"/>
        <w:gridCol w:w="2160"/>
        <w:gridCol w:w="1755"/>
      </w:tblGrid>
      <w:tr w:rsidR="00F84996" w:rsidRPr="00712802" w:rsidTr="00EF2F4A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62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28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показателя </w:t>
            </w:r>
          </w:p>
        </w:tc>
        <w:tc>
          <w:tcPr>
            <w:tcW w:w="126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2802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80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2802">
              <w:rPr>
                <w:rFonts w:ascii="Times New Roman" w:hAnsi="Times New Roman" w:cs="Times New Roman"/>
                <w:sz w:val="22"/>
                <w:szCs w:val="22"/>
              </w:rPr>
              <w:t xml:space="preserve">Значение,   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>утвержденное в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муниципальном задании на  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>отчетный период</w:t>
            </w:r>
          </w:p>
        </w:tc>
        <w:tc>
          <w:tcPr>
            <w:tcW w:w="144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2802">
              <w:rPr>
                <w:rFonts w:ascii="Times New Roman" w:hAnsi="Times New Roman" w:cs="Times New Roman"/>
                <w:sz w:val="22"/>
                <w:szCs w:val="22"/>
              </w:rPr>
              <w:t>Фактическое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>значение за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отчетный 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период  </w:t>
            </w:r>
          </w:p>
        </w:tc>
        <w:tc>
          <w:tcPr>
            <w:tcW w:w="2160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2802">
              <w:rPr>
                <w:rFonts w:ascii="Times New Roman" w:hAnsi="Times New Roman" w:cs="Times New Roman"/>
                <w:sz w:val="22"/>
                <w:szCs w:val="22"/>
              </w:rPr>
              <w:t xml:space="preserve">Характеристика 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>причин отклонения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  запланированных 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значений    </w:t>
            </w:r>
          </w:p>
        </w:tc>
        <w:tc>
          <w:tcPr>
            <w:tcW w:w="1755" w:type="dxa"/>
          </w:tcPr>
          <w:p w:rsidR="00F84996" w:rsidRPr="00712802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12802">
              <w:rPr>
                <w:rFonts w:ascii="Times New Roman" w:hAnsi="Times New Roman" w:cs="Times New Roman"/>
                <w:sz w:val="22"/>
                <w:szCs w:val="22"/>
              </w:rPr>
              <w:t>Источник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 о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>фактическом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>значении</w:t>
            </w:r>
            <w:r w:rsidRPr="00712802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показателя</w:t>
            </w: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1.          </w:t>
            </w: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62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2.          </w:t>
            </w:r>
          </w:p>
        </w:tc>
        <w:tc>
          <w:tcPr>
            <w:tcW w:w="12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10035" w:type="dxa"/>
            <w:gridSpan w:val="6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8.2. Сроки представления отчетов об исполнении муниципального задания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8.3. Иные требования к отчетности об исполнении муниципального задания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9.   Иная   информация,   необходимая    для    исполнения   (контроля   за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исполнением) муниципального задания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autoSpaceDE w:val="0"/>
        <w:autoSpaceDN w:val="0"/>
        <w:adjustRightInd w:val="0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ЧАСТЬ 2</w:t>
      </w: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(формируется при установлении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F45">
        <w:rPr>
          <w:rFonts w:ascii="Times New Roman" w:hAnsi="Times New Roman" w:cs="Times New Roman"/>
          <w:sz w:val="24"/>
          <w:szCs w:val="24"/>
        </w:rPr>
        <w:t>одновременно на выполнение муниципальной услуги (услуг)и работы (работ) и содержит требования</w:t>
      </w:r>
    </w:p>
    <w:p w:rsidR="00F84996" w:rsidRPr="00737F45" w:rsidRDefault="00F84996" w:rsidP="00F849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к выполнению работы (работ))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autoSpaceDE w:val="0"/>
        <w:autoSpaceDN w:val="0"/>
        <w:adjustRightInd w:val="0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 xml:space="preserve">                РАЗДЕЛ 1 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37F45">
        <w:rPr>
          <w:rFonts w:ascii="Times New Roman" w:hAnsi="Times New Roman" w:cs="Times New Roman"/>
          <w:sz w:val="24"/>
          <w:szCs w:val="24"/>
        </w:rPr>
        <w:t>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37F45">
        <w:rPr>
          <w:rFonts w:ascii="Times New Roman" w:hAnsi="Times New Roman" w:cs="Times New Roman"/>
          <w:sz w:val="24"/>
          <w:szCs w:val="24"/>
        </w:rPr>
        <w:tab/>
      </w:r>
      <w:r w:rsidRPr="00737F45">
        <w:rPr>
          <w:rFonts w:ascii="Times New Roman" w:hAnsi="Times New Roman" w:cs="Times New Roman"/>
          <w:sz w:val="24"/>
          <w:szCs w:val="24"/>
        </w:rPr>
        <w:tab/>
      </w:r>
      <w:r w:rsidRPr="00737F45">
        <w:rPr>
          <w:rFonts w:ascii="Times New Roman" w:hAnsi="Times New Roman" w:cs="Times New Roman"/>
          <w:sz w:val="24"/>
          <w:szCs w:val="24"/>
        </w:rPr>
        <w:tab/>
      </w:r>
      <w:r w:rsidRPr="00737F45">
        <w:rPr>
          <w:rFonts w:ascii="Times New Roman" w:hAnsi="Times New Roman" w:cs="Times New Roman"/>
          <w:sz w:val="24"/>
          <w:szCs w:val="24"/>
        </w:rPr>
        <w:tab/>
        <w:t>(при наличии 2 и более разделов)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1. Наименование муниципальной работы 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2. Характеристика работы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55"/>
        <w:gridCol w:w="1485"/>
        <w:gridCol w:w="1215"/>
        <w:gridCol w:w="1485"/>
        <w:gridCol w:w="1485"/>
        <w:gridCol w:w="1350"/>
        <w:gridCol w:w="1350"/>
      </w:tblGrid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  <w:vMerge w:val="restart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 </w:t>
            </w:r>
          </w:p>
        </w:tc>
        <w:tc>
          <w:tcPr>
            <w:tcW w:w="1485" w:type="dxa"/>
            <w:vMerge w:val="restart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</w:t>
            </w:r>
          </w:p>
        </w:tc>
        <w:tc>
          <w:tcPr>
            <w:tcW w:w="6885" w:type="dxa"/>
            <w:gridSpan w:val="5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755" w:type="dxa"/>
            <w:vMerge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 </w:t>
            </w:r>
          </w:p>
        </w:tc>
        <w:tc>
          <w:tcPr>
            <w:tcW w:w="148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текущий  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   </w:t>
            </w:r>
          </w:p>
        </w:tc>
        <w:tc>
          <w:tcPr>
            <w:tcW w:w="148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   </w:t>
            </w:r>
          </w:p>
        </w:tc>
        <w:tc>
          <w:tcPr>
            <w:tcW w:w="13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1-й год 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периода </w:t>
            </w:r>
          </w:p>
        </w:tc>
        <w:tc>
          <w:tcPr>
            <w:tcW w:w="13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периода</w:t>
            </w: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1.          </w:t>
            </w:r>
          </w:p>
        </w:tc>
        <w:tc>
          <w:tcPr>
            <w:tcW w:w="148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75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2.          </w:t>
            </w:r>
          </w:p>
        </w:tc>
        <w:tc>
          <w:tcPr>
            <w:tcW w:w="148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10125" w:type="dxa"/>
            <w:gridSpan w:val="7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3. Основания для досрочного прекращения муниципального задания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4. Порядок контроля за исполнением муниципального задания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50"/>
        <w:gridCol w:w="1890"/>
        <w:gridCol w:w="6750"/>
      </w:tblGrid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3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Формы  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контроля </w:t>
            </w:r>
          </w:p>
        </w:tc>
        <w:tc>
          <w:tcPr>
            <w:tcW w:w="189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7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Большехуторского сельсовета</w:t>
            </w:r>
            <w:r w:rsidRPr="00737F4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осуществляющие контроль за исполнением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задания</w:t>
            </w: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3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1.       </w:t>
            </w:r>
          </w:p>
        </w:tc>
        <w:tc>
          <w:tcPr>
            <w:tcW w:w="189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3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2.       </w:t>
            </w:r>
          </w:p>
        </w:tc>
        <w:tc>
          <w:tcPr>
            <w:tcW w:w="189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9990" w:type="dxa"/>
            <w:gridSpan w:val="3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5. Требования к отчетности об исполнении муниципального задания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5.1. Форма отчета об исполнении муниципального задания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15"/>
        <w:gridCol w:w="3240"/>
        <w:gridCol w:w="2835"/>
      </w:tblGrid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91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Результат, запланированный в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муниципальном задании на 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финансовый год   </w:t>
            </w:r>
          </w:p>
        </w:tc>
        <w:tc>
          <w:tcPr>
            <w:tcW w:w="324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достигнутые в отчетном 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финансовом году    </w:t>
            </w:r>
          </w:p>
        </w:tc>
        <w:tc>
          <w:tcPr>
            <w:tcW w:w="283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о фактически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достигнутых</w:t>
            </w:r>
            <w:r w:rsidRPr="00737F45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результатах</w:t>
            </w: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1.                          </w:t>
            </w:r>
          </w:p>
        </w:tc>
        <w:tc>
          <w:tcPr>
            <w:tcW w:w="324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1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37F45">
              <w:rPr>
                <w:rFonts w:ascii="Times New Roman" w:hAnsi="Times New Roman" w:cs="Times New Roman"/>
                <w:sz w:val="24"/>
                <w:szCs w:val="24"/>
              </w:rPr>
              <w:t xml:space="preserve">2.                          </w:t>
            </w:r>
          </w:p>
        </w:tc>
        <w:tc>
          <w:tcPr>
            <w:tcW w:w="3240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96" w:rsidRPr="00737F45" w:rsidTr="00EF2F4A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9990" w:type="dxa"/>
            <w:gridSpan w:val="3"/>
          </w:tcPr>
          <w:p w:rsidR="00F84996" w:rsidRPr="00737F45" w:rsidRDefault="00F84996" w:rsidP="00EF2F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5.2. Сроки представления отчетов об исполнении муниципального задания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5.3. Иные требования к отчетности об исполнении муниципального задания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37F45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6.   Иная   информация,   необходимая    для    исполнения   (контроля   за</w:t>
      </w:r>
    </w:p>
    <w:p w:rsidR="00F84996" w:rsidRPr="00737F45" w:rsidRDefault="00F84996" w:rsidP="00F849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исполнением) муниципального задания</w:t>
      </w:r>
    </w:p>
    <w:p w:rsidR="00F84996" w:rsidRPr="00737F45" w:rsidRDefault="00F84996" w:rsidP="00F84996">
      <w:pPr>
        <w:autoSpaceDE w:val="0"/>
        <w:autoSpaceDN w:val="0"/>
        <w:adjustRightInd w:val="0"/>
        <w:jc w:val="both"/>
        <w:outlineLvl w:val="3"/>
        <w:rPr>
          <w:sz w:val="24"/>
          <w:szCs w:val="24"/>
        </w:rPr>
      </w:pPr>
    </w:p>
    <w:p w:rsidR="00F84996" w:rsidRPr="00737F45" w:rsidRDefault="00F84996" w:rsidP="00F84996">
      <w:pPr>
        <w:pStyle w:val="ConsPlusNonformat"/>
        <w:widowControl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37F4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 w:rsidRPr="00737F45">
        <w:rPr>
          <w:sz w:val="24"/>
          <w:szCs w:val="24"/>
        </w:rPr>
        <w:t>&lt;*&gt; Для образовательных учреждений с учетом соответствующих образовательных программ.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 w:rsidRPr="00737F45">
        <w:rPr>
          <w:sz w:val="24"/>
          <w:szCs w:val="24"/>
        </w:rPr>
        <w:t>&lt;**&gt; Заполняется по решению органа местного самоуправления Нижнеломовского района Пензенской области</w:t>
      </w:r>
      <w:r w:rsidRPr="00737F45">
        <w:rPr>
          <w:i/>
          <w:sz w:val="24"/>
          <w:szCs w:val="24"/>
        </w:rPr>
        <w:t>,</w:t>
      </w:r>
      <w:r w:rsidRPr="00737F45">
        <w:rPr>
          <w:sz w:val="24"/>
          <w:szCs w:val="24"/>
        </w:rPr>
        <w:t xml:space="preserve"> осуществляющего функции и полномочия учредителя муниципальных бюджетных учреждений или автономных учреждений, созданных на базе имущества, находящегося в муниципальной собственности, либо главного распорядителя средств бюджета Нижнеломовского района Пензенской области, в ведении которого находятся муниципальные казенные учреждения.</w:t>
      </w:r>
    </w:p>
    <w:p w:rsidR="00F84996" w:rsidRPr="00737F45" w:rsidRDefault="00F84996" w:rsidP="00F84996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 w:rsidRPr="00737F45">
        <w:rPr>
          <w:sz w:val="24"/>
          <w:szCs w:val="24"/>
        </w:rPr>
        <w:t>&lt;***&gt; Значения на отчетный финансовый год могут быть детализированы по временному интервалу (месяц, квартал).</w:t>
      </w:r>
    </w:p>
    <w:p w:rsidR="00ED4E6A" w:rsidRDefault="00ED4E6A"/>
    <w:sectPr w:rsidR="00ED4E6A" w:rsidSect="00ED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2BD" w:rsidRDefault="00F84996" w:rsidP="00A807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2BD" w:rsidRDefault="00F84996" w:rsidP="00C25A2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2BD" w:rsidRDefault="00F84996" w:rsidP="00A80763">
    <w:pPr>
      <w:pStyle w:val="a3"/>
      <w:framePr w:wrap="around" w:vAnchor="text" w:hAnchor="margin" w:xAlign="right" w:y="1"/>
      <w:rPr>
        <w:rStyle w:val="a5"/>
      </w:rPr>
    </w:pPr>
  </w:p>
  <w:p w:rsidR="004F42BD" w:rsidRDefault="00F84996" w:rsidP="00E22303">
    <w:pPr>
      <w:pStyle w:val="a3"/>
      <w:tabs>
        <w:tab w:val="clear" w:pos="4677"/>
        <w:tab w:val="clear" w:pos="9355"/>
        <w:tab w:val="left" w:pos="3480"/>
      </w:tabs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4996"/>
    <w:rsid w:val="00ED4E6A"/>
    <w:rsid w:val="00F84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49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8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8499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849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84996"/>
  </w:style>
  <w:style w:type="paragraph" w:styleId="a6">
    <w:name w:val="Balloon Text"/>
    <w:basedOn w:val="a"/>
    <w:link w:val="a7"/>
    <w:uiPriority w:val="99"/>
    <w:semiHidden/>
    <w:unhideWhenUsed/>
    <w:rsid w:val="00F849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49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3267</Words>
  <Characters>18627</Characters>
  <Application>Microsoft Office Word</Application>
  <DocSecurity>0</DocSecurity>
  <Lines>155</Lines>
  <Paragraphs>43</Paragraphs>
  <ScaleCrop>false</ScaleCrop>
  <Company/>
  <LinksUpToDate>false</LinksUpToDate>
  <CharactersWithSpaces>21851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2019-08-20T11:17:00Z</dcterms:created>
  <dcterms:modified xsi:type="dcterms:W3CDTF">2019-08-20T11:17:00Z</dcterms:modified>
</cp:coreProperties>
</file>